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F89" w:rsidRPr="00872075" w:rsidRDefault="005D4ACE" w:rsidP="00C66078">
      <w:pPr>
        <w:pStyle w:val="Heading110"/>
        <w:shd w:val="clear" w:color="auto" w:fill="auto"/>
        <w:spacing w:after="120"/>
        <w:ind w:right="23"/>
      </w:pPr>
      <w:bookmarkStart w:id="0" w:name="bookmark0"/>
      <w:bookmarkStart w:id="1" w:name="_GoBack"/>
      <w:bookmarkEnd w:id="1"/>
      <w:r w:rsidRPr="00872075">
        <w:t>Симулација Самита о климатским променама: чиста технологија</w:t>
      </w:r>
      <w:bookmarkEnd w:id="0"/>
    </w:p>
    <w:p w:rsidR="00F806F4" w:rsidRPr="00872075" w:rsidRDefault="00793B6C" w:rsidP="00C66078">
      <w:pPr>
        <w:pStyle w:val="Heading110"/>
        <w:shd w:val="clear" w:color="auto" w:fill="auto"/>
        <w:spacing w:after="120"/>
        <w:ind w:right="23"/>
        <w:rPr>
          <w:sz w:val="20"/>
          <w:szCs w:val="20"/>
        </w:rPr>
      </w:pPr>
      <w:r w:rsidRPr="00872075">
        <w:rPr>
          <w:noProof/>
          <w:lang w:val="en-GB" w:eastAsia="en-GB"/>
        </w:rPr>
        <w:drawing>
          <wp:inline distT="0" distB="0" distL="0" distR="0">
            <wp:extent cx="1498600" cy="24765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referRelativeResize="0"/>
                  </pic:nvPicPr>
                  <pic:blipFill>
                    <a:blip r:embed="rId12" cstate="print"/>
                    <a:stretch>
                      <a:fillRect/>
                    </a:stretch>
                  </pic:blipFill>
                  <pic:spPr>
                    <a:xfrm>
                      <a:off x="0" y="0"/>
                      <a:ext cx="1628454" cy="269109"/>
                    </a:xfrm>
                    <a:prstGeom prst="rect">
                      <a:avLst/>
                    </a:prstGeom>
                  </pic:spPr>
                </pic:pic>
              </a:graphicData>
            </a:graphic>
          </wp:inline>
        </w:drawing>
      </w:r>
    </w:p>
    <w:p w:rsidR="00786F89" w:rsidRPr="00872075" w:rsidRDefault="005D4ACE" w:rsidP="00C66078">
      <w:pPr>
        <w:pStyle w:val="Heading210"/>
        <w:pBdr>
          <w:top w:val="single" w:sz="4" w:space="1" w:color="auto"/>
        </w:pBdr>
        <w:shd w:val="clear" w:color="auto" w:fill="auto"/>
        <w:tabs>
          <w:tab w:val="left" w:pos="1440"/>
        </w:tabs>
        <w:spacing w:before="0" w:after="120" w:line="288" w:lineRule="auto"/>
      </w:pPr>
      <w:bookmarkStart w:id="2" w:name="bookmark1"/>
      <w:r w:rsidRPr="00872075">
        <w:t>За:</w:t>
      </w:r>
      <w:r w:rsidRPr="00872075">
        <w:tab/>
        <w:t>Главне преговараче у сектору за чисте технологије</w:t>
      </w:r>
      <w:bookmarkEnd w:id="2"/>
    </w:p>
    <w:p w:rsidR="00786F89" w:rsidRPr="00872075" w:rsidRDefault="005D4ACE" w:rsidP="00C66078">
      <w:pPr>
        <w:pStyle w:val="Bodytext30"/>
        <w:shd w:val="clear" w:color="auto" w:fill="auto"/>
        <w:tabs>
          <w:tab w:val="left" w:pos="1440"/>
        </w:tabs>
        <w:spacing w:line="288" w:lineRule="auto"/>
      </w:pPr>
      <w:r w:rsidRPr="00872075">
        <w:t>Тема:</w:t>
      </w:r>
      <w:r w:rsidRPr="00872075">
        <w:tab/>
        <w:t>Припрема за Самит о климатским променама</w:t>
      </w:r>
    </w:p>
    <w:p w:rsidR="00786F89" w:rsidRPr="00872075" w:rsidRDefault="005D4ACE" w:rsidP="00C66078">
      <w:pPr>
        <w:pStyle w:val="Bodytext20"/>
        <w:shd w:val="clear" w:color="auto" w:fill="auto"/>
        <w:spacing w:before="0" w:line="288" w:lineRule="auto"/>
        <w:ind w:firstLine="0"/>
      </w:pPr>
      <w:r w:rsidRPr="00872075">
        <w:t xml:space="preserve">Добро дошли на Самит о климатским променама. Генерални секретар УН вас је заједно са другим лидерима свих релевантних заинтересованих страна позвао да заједничким радом успешно одговорите на климатске промене. Генерални секретар је у свом позиву </w:t>
      </w:r>
      <w:r w:rsidRPr="00872075">
        <w:rPr>
          <w:rStyle w:val="Bodytext21"/>
        </w:rPr>
        <w:t>истакао</w:t>
      </w:r>
      <w:r w:rsidRPr="00872075">
        <w:t>: „Климатска ванредна ситуација је трка у којој губимо, али то је трка у којој можемо да победимо... Врхунска наука... говори нам да ће свако повећање температуре које прелази 1</w:t>
      </w:r>
      <w:proofErr w:type="gramStart"/>
      <w:r w:rsidRPr="00872075">
        <w:t>,5</w:t>
      </w:r>
      <w:proofErr w:type="gramEnd"/>
      <w:r w:rsidRPr="00872075">
        <w:t>°C довести до огромне и неповратне штете по екосистеме који нас издржавају... Међутим, наука нам такође говори да није прекасно. Ми то можемо... Али биће нам неопходне темељне промене у свим аспектима друштва – у начину на који узгајамо храну, искоришћавамо земљу, трошимо гориво за превоз и струју за своје привреде... Уколико делујемо заједно, нико неће бити препуштен сам себи“.</w:t>
      </w:r>
    </w:p>
    <w:p w:rsidR="00786F89" w:rsidRPr="00872075" w:rsidRDefault="005D4ACE" w:rsidP="00C66078">
      <w:pPr>
        <w:pStyle w:val="Bodytext20"/>
        <w:shd w:val="clear" w:color="auto" w:fill="auto"/>
        <w:spacing w:before="0" w:line="288" w:lineRule="auto"/>
        <w:ind w:firstLine="0"/>
      </w:pPr>
      <w:r w:rsidRPr="00872075">
        <w:t xml:space="preserve">Циљ овог самита је стварање плана којим би се глобално загревање ограничило на мање од 2°C [3,6°F] изнад прединдустријских нивоа, уз тежњу да то буде 1,5°C [2,7°F], што су формално признати међународни циљеви у Париском споразуму о клими. </w:t>
      </w:r>
      <w:r w:rsidRPr="00872075">
        <w:rPr>
          <w:rStyle w:val="Bodytext21"/>
        </w:rPr>
        <w:t>Научни докази</w:t>
      </w:r>
      <w:r w:rsidRPr="00872075">
        <w:t xml:space="preserve"> су јасни: загревање изнад овог ограничења задаће катастрофалне и неповратне ударце који прете здрављу, напретку и животима људи у свим земљама.</w:t>
      </w:r>
    </w:p>
    <w:p w:rsidR="00786F89" w:rsidRPr="00872075" w:rsidRDefault="005D4ACE" w:rsidP="00C66078">
      <w:pPr>
        <w:pStyle w:val="Bodytext20"/>
        <w:shd w:val="clear" w:color="auto" w:fill="auto"/>
        <w:spacing w:before="0" w:line="288" w:lineRule="auto"/>
        <w:ind w:firstLine="0"/>
      </w:pPr>
      <w:r w:rsidRPr="00872075">
        <w:t>Ваша група обухвата генералне директоре, инвеститоре, политичке експерте и научнике у растућим делатностима обновљиве енергије, чисте технологије и технолошког смањења угљен-диоксида које имају за циљ смањивање угљеничног отиска на нашој планети. У те делатности спадају: енергија сунца, ветра и воде, геотермални извори, складиштење енергије, горивне ћелије, електрична возила, енергетска ефикасност, одрживи материјали и производња, зелена градња и технологије нултог угљеничног отиска и издвајања угљен-диоксида које су тек у развоју.</w:t>
      </w:r>
    </w:p>
    <w:p w:rsidR="00786F89" w:rsidRPr="00872075" w:rsidRDefault="005D4ACE" w:rsidP="00C66078">
      <w:pPr>
        <w:pStyle w:val="Bodytext20"/>
        <w:shd w:val="clear" w:color="auto" w:fill="auto"/>
        <w:spacing w:before="0" w:line="288" w:lineRule="auto"/>
        <w:ind w:firstLine="0"/>
      </w:pPr>
      <w:r w:rsidRPr="00872075">
        <w:t xml:space="preserve">Ваше приоритетне смернице наведене су у наставку. Међутим, можете да предложите или блокирате све расположиве смернице. </w:t>
      </w:r>
    </w:p>
    <w:p w:rsidR="00786F89" w:rsidRPr="00872075" w:rsidRDefault="005D4ACE" w:rsidP="00C66078">
      <w:pPr>
        <w:pStyle w:val="Heading1"/>
        <w:spacing w:after="120"/>
        <w:rPr>
          <w:b/>
        </w:rPr>
      </w:pPr>
      <w:r w:rsidRPr="00872075">
        <w:rPr>
          <w:rStyle w:val="Bodytext2Bold"/>
        </w:rPr>
        <w:t xml:space="preserve">Наплата стварних трошкова за фосилна горива путем пореза и високе накнаде за угљенични отисак. </w:t>
      </w:r>
      <w:r w:rsidRPr="00872075">
        <w:t>Фосилна горива и даље доминирају светским енергетским системом и она су без сумње највећи извор емисија гасова са ефектом стаклене баште (GHG) који доприносе промени климе. Данашње тржишне цене не обухватају штетна дејства која фосилна горива имају на животну средину и друштво (њихове „негативне екстерналије“). Осим тога, владе широм света годишње обезбеђују између 775 милијарди и 1 трилиона УСД за субвенционисање производње фосилних горива. Економисти се слажу да је накнада за угљенични отисак најбољи начин за смањивање глобалних емисија гасова са ефектом стаклене баште. Потребна вам је висока накнада за угљенични отисак (значајно изнад 50 УСД по тони CO</w:t>
      </w:r>
      <w:r w:rsidRPr="00872075">
        <w:rPr>
          <w:vertAlign w:val="subscript"/>
        </w:rPr>
        <w:t>2</w:t>
      </w:r>
      <w:r w:rsidRPr="00872075">
        <w:t>), коју би можда требало постепено уводити да би привреда могла да се прилагоди. Осим тога, индустрију фосилних горива би требало опорезовати да би се ублажили вишедеценијска штета и одлагање које је она већ проузроковала. Порески приходи могу да компензују трошкове за светску енергетску транзицију и помогну угроженим групама становништва да се прилагоде климатским утицајима који се већ одвијају.</w:t>
      </w:r>
    </w:p>
    <w:p w:rsidR="00786F89" w:rsidRPr="00872075" w:rsidRDefault="005201FD" w:rsidP="00872075">
      <w:pPr>
        <w:pStyle w:val="Heading1"/>
        <w:keepLines/>
        <w:spacing w:after="120"/>
        <w:rPr>
          <w:b/>
        </w:rPr>
      </w:pPr>
      <w:bookmarkStart w:id="3" w:name="bookmark2"/>
      <w:r w:rsidRPr="00872075">
        <w:rPr>
          <w:b/>
        </w:rPr>
        <w:lastRenderedPageBreak/>
        <w:t>Субвенционисање обновљиве енергије (нпр. соларне, енергије ветра, геотермалне, хидроенергије и складиштења енергије).</w:t>
      </w:r>
      <w:bookmarkEnd w:id="3"/>
      <w:r w:rsidRPr="00872075">
        <w:t xml:space="preserve"> </w:t>
      </w:r>
      <w:r w:rsidRPr="00872075">
        <w:rPr>
          <w:rStyle w:val="Bodytext23"/>
        </w:rPr>
        <w:t>Индустрија обновљиве енергије се брзо развија, али и даље обезбеђује свега 5% снабдевања енергијом широм света. Субвенције ће помоћи вашој индустрији да расте и да развије технологије које су неопходне за још већу замену фосилних горива. Складиштење (нпр. акумулатори, термална складишта, складишта реверзибилних хидроелектрана) и технологије паметне мреже у електричном напајању омогућавају интеграцију различитих обновљивих енергија, попут соларне или енергије ветра у енергетски систем и обезбеђују непрекидно електрично напајање.</w:t>
      </w:r>
    </w:p>
    <w:p w:rsidR="00786F89" w:rsidRPr="00872075" w:rsidRDefault="005D4ACE" w:rsidP="00C66078">
      <w:pPr>
        <w:pStyle w:val="Heading1"/>
        <w:spacing w:after="120"/>
      </w:pPr>
      <w:r w:rsidRPr="00872075">
        <w:rPr>
          <w:b/>
        </w:rPr>
        <w:t>Промовисање енергетске ефикасности и електрификација стамбених и индустријских објеката</w:t>
      </w:r>
      <w:r w:rsidRPr="00872075">
        <w:t>. Енергетска ефикасност означава пружање истог обима услуге уз смањену потрошњу енергије, на пример, у области грејања, хлађења, производње итд. Унапређивање енергетске ефикасности може значајно да смањи емисије и трошкове за енергију код енергетски интензивних стамбених и индустријских објеката. Електрификација означава прелазак система за грејање и хлађење са горива попут нафте и земног гаса на ефикасније електричне ваздушне и земне топлотне пумпе које ће се у идеалним околностима напајати обновљивом енергијом.</w:t>
      </w:r>
    </w:p>
    <w:p w:rsidR="00786F89" w:rsidRPr="00872075" w:rsidRDefault="005D4ACE" w:rsidP="00C66078">
      <w:pPr>
        <w:pStyle w:val="Heading1"/>
        <w:spacing w:after="120"/>
      </w:pPr>
      <w:r w:rsidRPr="00872075">
        <w:rPr>
          <w:b/>
        </w:rPr>
        <w:t>Промовисање енергетске ефикасности и електрификација саобраћаја</w:t>
      </w:r>
      <w:r w:rsidRPr="00872075">
        <w:t>. Око 15% светских емисија гасова са ефектом стаклене баште потиче од саобраћаја који се сада скоро искључиво напаја нафтом. Економски развој</w:t>
      </w:r>
      <w:r w:rsidRPr="00872075">
        <w:rPr>
          <w:rStyle w:val="Bodytext23"/>
        </w:rPr>
        <w:t xml:space="preserve"> и повећано гомилање богатства широм света</w:t>
      </w:r>
      <w:r w:rsidRPr="00872075">
        <w:t xml:space="preserve"> прати брз раст потражње за саобраћајем.</w:t>
      </w:r>
      <w:r w:rsidRPr="00872075">
        <w:rPr>
          <w:rStyle w:val="Bodytext23"/>
        </w:rPr>
        <w:t xml:space="preserve"> Повећана ефикасност у саобраћају значајно би смањила потражњу за нафтом. Електрификација возила могла би да у овом важном сектору саобраћаја омогући прелазак са нафте на енергију из обновљивих извора.</w:t>
      </w:r>
    </w:p>
    <w:p w:rsidR="00786F89" w:rsidRPr="00872075" w:rsidRDefault="005D4ACE" w:rsidP="00C66078">
      <w:pPr>
        <w:pStyle w:val="Heading1"/>
        <w:spacing w:after="120"/>
      </w:pPr>
      <w:r w:rsidRPr="00872075">
        <w:rPr>
          <w:b/>
        </w:rPr>
        <w:t>Одлучивање о потреби инвестирања у истраживање и развој за нове нискотарифне изворе енергије нултог угљеничног отиска</w:t>
      </w:r>
      <w:r w:rsidRPr="00872075">
        <w:t>.</w:t>
      </w:r>
      <w:r w:rsidRPr="00872075">
        <w:rPr>
          <w:rStyle w:val="Bodytext23"/>
        </w:rPr>
        <w:t xml:space="preserve"> Поједини научници верују да неки нови тип нуклеарне енергије, попут фисије торијума или нуклеарне фузије, може да представља најбољи енергетски извор за замену фосилне енергије, тврдећи да би такве </w:t>
      </w:r>
      <w:r w:rsidRPr="00872075">
        <w:t>технологије могле да обезбеде велике количине нискотарифне електричне енергију нултог угљеничног отиска. Више реномираних универзитета и компанија истражује обећавајућа нова решења у области нуклеарне енергије. Ипак, те нове технологије за сада нису доступне и потребна су значајна улагања да би постале комерцијално одрживе.</w:t>
      </w:r>
    </w:p>
    <w:p w:rsidR="00786F89" w:rsidRPr="00872075" w:rsidRDefault="005D4ACE" w:rsidP="00C66078">
      <w:pPr>
        <w:pStyle w:val="Heading1"/>
        <w:spacing w:after="120"/>
      </w:pPr>
      <w:bookmarkStart w:id="4" w:name="bookmark3"/>
      <w:r w:rsidRPr="00872075">
        <w:rPr>
          <w:b/>
        </w:rPr>
        <w:t>Одлучивање о могућностима за значајан развој технологије смањења угљен-диоксида</w:t>
      </w:r>
      <w:r w:rsidRPr="00872075">
        <w:t>.</w:t>
      </w:r>
      <w:bookmarkEnd w:id="4"/>
      <w:r w:rsidRPr="00872075">
        <w:t xml:space="preserve"> Област</w:t>
      </w:r>
      <w:r w:rsidRPr="00872075">
        <w:rPr>
          <w:rStyle w:val="Bodytext23"/>
        </w:rPr>
        <w:t xml:space="preserve"> технологије уклањања угљен-</w:t>
      </w:r>
      <w:proofErr w:type="gramStart"/>
      <w:r w:rsidRPr="00872075">
        <w:rPr>
          <w:rStyle w:val="Bodytext23"/>
        </w:rPr>
        <w:t>диоксида  (</w:t>
      </w:r>
      <w:proofErr w:type="gramEnd"/>
      <w:r w:rsidRPr="00872075">
        <w:rPr>
          <w:rStyle w:val="Bodytext23"/>
        </w:rPr>
        <w:t xml:space="preserve">CDR) у настајању тражи начине да уклони </w:t>
      </w:r>
      <w:r w:rsidRPr="00872075">
        <w:t>CO</w:t>
      </w:r>
      <w:r w:rsidRPr="00872075">
        <w:rPr>
          <w:vertAlign w:val="subscript"/>
        </w:rPr>
        <w:t>2</w:t>
      </w:r>
      <w:r w:rsidRPr="00872075">
        <w:t xml:space="preserve"> </w:t>
      </w:r>
      <w:r w:rsidRPr="00872075">
        <w:rPr>
          <w:rStyle w:val="Bodytext23"/>
        </w:rPr>
        <w:t>који се већ налази у атмосфери. Ове технологије крећу се од промена у пољопривредним поступцима које се могу применити већ данас до теоријских и недоказаних технологија као што је „Direct Air Capture</w:t>
      </w:r>
      <w:proofErr w:type="gramStart"/>
      <w:r w:rsidRPr="00872075">
        <w:rPr>
          <w:rStyle w:val="Bodytext23"/>
        </w:rPr>
        <w:t>“ (</w:t>
      </w:r>
      <w:proofErr w:type="gramEnd"/>
      <w:r w:rsidRPr="00872075">
        <w:rPr>
          <w:rStyle w:val="Bodytext23"/>
        </w:rPr>
        <w:t>DAC). Ваша група може да се определи за улагање у ове технологије.</w:t>
      </w:r>
    </w:p>
    <w:p w:rsidR="00786F89" w:rsidRPr="00872075" w:rsidRDefault="005D4ACE" w:rsidP="00C66078">
      <w:pPr>
        <w:pStyle w:val="Bodytext50"/>
        <w:shd w:val="clear" w:color="auto" w:fill="auto"/>
        <w:spacing w:before="0" w:after="120" w:line="288" w:lineRule="auto"/>
      </w:pPr>
      <w:r w:rsidRPr="00872075">
        <w:t>Додатне теме за разматрање</w:t>
      </w:r>
    </w:p>
    <w:p w:rsidR="00786F89" w:rsidRPr="00872075" w:rsidRDefault="005D4ACE" w:rsidP="00C66078">
      <w:pPr>
        <w:pStyle w:val="Bodytext20"/>
        <w:shd w:val="clear" w:color="auto" w:fill="auto"/>
        <w:spacing w:before="0" w:line="288" w:lineRule="auto"/>
        <w:ind w:firstLine="0"/>
      </w:pPr>
      <w:r w:rsidRPr="00872075">
        <w:t>Смањење потрошње фосилних горива од пресудне је важности за смањење емисије гасова са ефектом стаклене баште да би се ублажило глобално загревање и други важни разлози за бригу о јавном здрављу попут квалитета ваздуха и воде. Прелазак на привреду са ниским угљеничним отиском захтева промене у инфраструктури, пословним моделима, ресурсима и инвестицијама. Иако ове промене намећу извесне трошкове на кратак рок, друштво ће платити много већу цену уколико се потрошња фосилних горива што пре не смањи.</w:t>
      </w:r>
    </w:p>
    <w:p w:rsidR="00786F89" w:rsidRPr="00872075" w:rsidRDefault="005D4ACE" w:rsidP="00872075">
      <w:pPr>
        <w:pStyle w:val="Bodytext20"/>
        <w:keepLines/>
        <w:shd w:val="clear" w:color="auto" w:fill="auto"/>
        <w:spacing w:before="0" w:line="288" w:lineRule="auto"/>
        <w:ind w:firstLine="0"/>
      </w:pPr>
      <w:r w:rsidRPr="00872075">
        <w:lastRenderedPageBreak/>
        <w:t>Трошкови коришћења обновљивих извора попут енергије ветра и сунца, складиштења енергије, ефикасности и других технологија брзо падају захваљујући истраживањима и развоју, учењу кроз праксу и економији обима. Што су јефтинији, потражња је већа, а трошкови падају брже. Субвенције за чисту технологију ће убрзати овај повољни циклус, као и прелазак на угљенично неутралан, ефикасан и здрав свет који користи обновљиву енергију.</w:t>
      </w:r>
    </w:p>
    <w:p w:rsidR="00786F89" w:rsidRPr="00872075" w:rsidRDefault="005D4ACE" w:rsidP="00C66078">
      <w:pPr>
        <w:pStyle w:val="Bodytext20"/>
        <w:shd w:val="clear" w:color="auto" w:fill="auto"/>
        <w:spacing w:before="0" w:line="288" w:lineRule="auto"/>
        <w:ind w:firstLine="0"/>
      </w:pPr>
      <w:r w:rsidRPr="00872075">
        <w:t>Заговарајте политике које промовишу убрзани раст у делатностима које представљате, заједно са великим добицима у ефикасности код крајњих корисника како би се обезбедила енергија која је неопходна за економски развој широм света. Подсећајте друге да људи не желе тоне угља нити бареле нафте – они желе домове који су топли зими и расхлађени лети. Они желе приступ здравственој заштити. Они желе добре послове и прилике за економски и културни развој. Енергетска ефикасност у комбинацији са чистом, обновљивом и угљенично неутралном енергијом представља најбезбеднији, најјефтинији и најбржи начин да се људима обезбеде услуге и прилике које су им потребне уз истовремено смањење емисија гасова са ефектом стаклене баште.</w:t>
      </w:r>
    </w:p>
    <w:p w:rsidR="00786F89" w:rsidRPr="00872075" w:rsidRDefault="005D4ACE" w:rsidP="00C66078">
      <w:pPr>
        <w:pStyle w:val="Bodytext20"/>
        <w:shd w:val="clear" w:color="auto" w:fill="auto"/>
        <w:spacing w:before="0" w:line="288" w:lineRule="auto"/>
        <w:ind w:firstLine="0"/>
      </w:pPr>
      <w:r w:rsidRPr="00872075">
        <w:t>Иако CO</w:t>
      </w:r>
      <w:r w:rsidRPr="00872075">
        <w:rPr>
          <w:vertAlign w:val="subscript"/>
        </w:rPr>
        <w:t>2</w:t>
      </w:r>
      <w:r w:rsidRPr="00872075">
        <w:rPr>
          <w:rStyle w:val="Bodytext26pt"/>
        </w:rPr>
        <w:t xml:space="preserve"> </w:t>
      </w:r>
      <w:r w:rsidRPr="00872075">
        <w:t>из фосилних горива у највећој мери доприноси климатским променама, ту су други гасови са снажним ефектом стаклене баште, попут метана (CH</w:t>
      </w:r>
      <w:r w:rsidRPr="00872075">
        <w:rPr>
          <w:vertAlign w:val="subscript"/>
        </w:rPr>
        <w:t>4</w:t>
      </w:r>
      <w:r w:rsidRPr="00872075">
        <w:t>) и азотног оксида (N</w:t>
      </w:r>
      <w:r w:rsidRPr="00872075">
        <w:rPr>
          <w:vertAlign w:val="subscript"/>
        </w:rPr>
        <w:t>2</w:t>
      </w:r>
      <w:r w:rsidRPr="00872075">
        <w:t>O) чији утицај расте. Емисији ових гасова у огромној мери доприносе праксе у пољопривреди и шумарству по целом свету. Исцуривање метана се јавља и у вађењу и дистрибуцији земног гаса. Морају се озаконити и политике које смањују емисије других гасова са ефектом стаклене баште.</w:t>
      </w:r>
    </w:p>
    <w:sectPr w:rsidR="00786F89" w:rsidRPr="00872075" w:rsidSect="00100CF2">
      <w:footerReference w:type="default" r:id="rId13"/>
      <w:pgSz w:w="11906" w:h="16838" w:code="9"/>
      <w:pgMar w:top="1134" w:right="1247" w:bottom="851" w:left="1247" w:header="567" w:footer="397"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2D3" w:rsidRPr="00872075" w:rsidRDefault="009732D3">
      <w:r w:rsidRPr="00872075">
        <w:separator/>
      </w:r>
    </w:p>
  </w:endnote>
  <w:endnote w:type="continuationSeparator" w:id="0">
    <w:p w:rsidR="009732D3" w:rsidRPr="00872075" w:rsidRDefault="009732D3">
      <w:r w:rsidRPr="0087207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205" w:rsidRPr="00872075" w:rsidRDefault="00C66078" w:rsidP="00C66078">
    <w:pPr>
      <w:pStyle w:val="Footer"/>
      <w:spacing w:line="240" w:lineRule="auto"/>
      <w:rPr>
        <w:i/>
        <w:sz w:val="20"/>
        <w:szCs w:val="20"/>
      </w:rPr>
    </w:pPr>
    <w:r w:rsidRPr="00872075">
      <w:rPr>
        <w:i/>
        <w:sz w:val="20"/>
        <w:szCs w:val="20"/>
      </w:rPr>
      <w:t xml:space="preserve">Развили: Climate Interactive, MIT Sloan School of Management Sustainability Initiative, ESB Business School и UMass Lowell Climate Change Initiative. Последњи пут ажурирано у септембру 2019. </w:t>
    </w:r>
    <w:hyperlink r:id="rId1" w:history="1">
      <w:r w:rsidRPr="00872075">
        <w:rPr>
          <w:i/>
          <w:sz w:val="20"/>
          <w:szCs w:val="20"/>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2D3" w:rsidRPr="00872075" w:rsidRDefault="009732D3"/>
  </w:footnote>
  <w:footnote w:type="continuationSeparator" w:id="0">
    <w:p w:rsidR="009732D3" w:rsidRPr="00872075" w:rsidRDefault="009732D3"/>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5F297F69"/>
    <w:multiLevelType w:val="multilevel"/>
    <w:tmpl w:val="7AF8DAC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F89"/>
    <w:rsid w:val="00100CF2"/>
    <w:rsid w:val="00165F70"/>
    <w:rsid w:val="00437EE2"/>
    <w:rsid w:val="005201FD"/>
    <w:rsid w:val="005D4ACE"/>
    <w:rsid w:val="00636CAE"/>
    <w:rsid w:val="006A531E"/>
    <w:rsid w:val="006C71BA"/>
    <w:rsid w:val="007116D9"/>
    <w:rsid w:val="00786F89"/>
    <w:rsid w:val="00793B6C"/>
    <w:rsid w:val="00872075"/>
    <w:rsid w:val="008B1409"/>
    <w:rsid w:val="00965690"/>
    <w:rsid w:val="009732D3"/>
    <w:rsid w:val="00A858E5"/>
    <w:rsid w:val="00AE6205"/>
    <w:rsid w:val="00C66078"/>
    <w:rsid w:val="00C72B5E"/>
    <w:rsid w:val="00C8791E"/>
    <w:rsid w:val="00CC6C1B"/>
    <w:rsid w:val="00ED1CE9"/>
    <w:rsid w:val="00EF188F"/>
    <w:rsid w:val="00F679C4"/>
    <w:rsid w:val="00F806F4"/>
    <w:rsid w:val="00FD6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C2442EC-2BC6-48D8-A1D0-2704191CA71B}"/>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C1B"/>
    <w:pPr>
      <w:widowControl/>
      <w:spacing w:line="288" w:lineRule="auto"/>
      <w:jc w:val="both"/>
    </w:pPr>
    <w:rPr>
      <w:sz w:val="22"/>
      <w:szCs w:val="22"/>
      <w:lang w:bidi="ar-SA"/>
    </w:rPr>
  </w:style>
  <w:style w:type="paragraph" w:styleId="Heading1">
    <w:name w:val="heading 1"/>
    <w:basedOn w:val="Normal"/>
    <w:next w:val="Normal"/>
    <w:link w:val="Heading1Char"/>
    <w:qFormat/>
    <w:rsid w:val="00CC6C1B"/>
    <w:pPr>
      <w:numPr>
        <w:numId w:val="2"/>
      </w:numPr>
      <w:ind w:left="567" w:hanging="567"/>
      <w:outlineLvl w:val="0"/>
    </w:pPr>
    <w:rPr>
      <w:kern w:val="28"/>
    </w:rPr>
  </w:style>
  <w:style w:type="paragraph" w:styleId="Heading2">
    <w:name w:val="heading 2"/>
    <w:basedOn w:val="Normal"/>
    <w:next w:val="Normal"/>
    <w:link w:val="Heading2Char"/>
    <w:qFormat/>
    <w:rsid w:val="00CC6C1B"/>
    <w:pPr>
      <w:numPr>
        <w:ilvl w:val="1"/>
        <w:numId w:val="2"/>
      </w:numPr>
      <w:ind w:left="567" w:hanging="567"/>
      <w:outlineLvl w:val="1"/>
    </w:pPr>
  </w:style>
  <w:style w:type="paragraph" w:styleId="Heading3">
    <w:name w:val="heading 3"/>
    <w:basedOn w:val="Normal"/>
    <w:next w:val="Normal"/>
    <w:link w:val="Heading3Char"/>
    <w:qFormat/>
    <w:rsid w:val="00CC6C1B"/>
    <w:pPr>
      <w:numPr>
        <w:ilvl w:val="2"/>
        <w:numId w:val="2"/>
      </w:numPr>
      <w:ind w:left="567" w:hanging="567"/>
      <w:outlineLvl w:val="2"/>
    </w:pPr>
  </w:style>
  <w:style w:type="paragraph" w:styleId="Heading4">
    <w:name w:val="heading 4"/>
    <w:basedOn w:val="Normal"/>
    <w:next w:val="Normal"/>
    <w:link w:val="Heading4Char"/>
    <w:qFormat/>
    <w:rsid w:val="00CC6C1B"/>
    <w:pPr>
      <w:numPr>
        <w:ilvl w:val="3"/>
        <w:numId w:val="2"/>
      </w:numPr>
      <w:ind w:left="567" w:hanging="567"/>
      <w:outlineLvl w:val="3"/>
    </w:pPr>
  </w:style>
  <w:style w:type="paragraph" w:styleId="Heading5">
    <w:name w:val="heading 5"/>
    <w:basedOn w:val="Normal"/>
    <w:next w:val="Normal"/>
    <w:link w:val="Heading5Char"/>
    <w:qFormat/>
    <w:rsid w:val="00CC6C1B"/>
    <w:pPr>
      <w:numPr>
        <w:ilvl w:val="4"/>
        <w:numId w:val="2"/>
      </w:numPr>
      <w:ind w:left="567" w:hanging="567"/>
      <w:outlineLvl w:val="4"/>
    </w:pPr>
  </w:style>
  <w:style w:type="paragraph" w:styleId="Heading6">
    <w:name w:val="heading 6"/>
    <w:basedOn w:val="Normal"/>
    <w:next w:val="Normal"/>
    <w:link w:val="Heading6Char"/>
    <w:qFormat/>
    <w:rsid w:val="00CC6C1B"/>
    <w:pPr>
      <w:numPr>
        <w:ilvl w:val="5"/>
        <w:numId w:val="2"/>
      </w:numPr>
      <w:ind w:left="567" w:hanging="567"/>
      <w:outlineLvl w:val="5"/>
    </w:pPr>
  </w:style>
  <w:style w:type="paragraph" w:styleId="Heading7">
    <w:name w:val="heading 7"/>
    <w:basedOn w:val="Normal"/>
    <w:next w:val="Normal"/>
    <w:link w:val="Heading7Char"/>
    <w:qFormat/>
    <w:rsid w:val="00CC6C1B"/>
    <w:pPr>
      <w:numPr>
        <w:ilvl w:val="6"/>
        <w:numId w:val="2"/>
      </w:numPr>
      <w:ind w:left="567" w:hanging="567"/>
      <w:outlineLvl w:val="6"/>
    </w:pPr>
  </w:style>
  <w:style w:type="paragraph" w:styleId="Heading8">
    <w:name w:val="heading 8"/>
    <w:basedOn w:val="Normal"/>
    <w:next w:val="Normal"/>
    <w:link w:val="Heading8Char"/>
    <w:qFormat/>
    <w:rsid w:val="00CC6C1B"/>
    <w:pPr>
      <w:numPr>
        <w:ilvl w:val="7"/>
        <w:numId w:val="2"/>
      </w:numPr>
      <w:ind w:left="567" w:hanging="567"/>
      <w:outlineLvl w:val="7"/>
    </w:pPr>
  </w:style>
  <w:style w:type="paragraph" w:styleId="Heading9">
    <w:name w:val="heading 9"/>
    <w:basedOn w:val="Normal"/>
    <w:next w:val="Normal"/>
    <w:link w:val="Heading9Char"/>
    <w:qFormat/>
    <w:rsid w:val="00CC6C1B"/>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icturecaption1Arial35ptExact">
    <w:name w:val="Picture caption|1 + Arial;35 pt Exact"/>
    <w:basedOn w:val="DefaultParagraphFont"/>
    <w:semiHidden/>
    <w:unhideWhenUsed/>
    <w:rsid w:val="00CC6C1B"/>
    <w:rPr>
      <w:rFonts w:ascii="Arial" w:eastAsia="Arial" w:hAnsi="Arial" w:cs="Arial"/>
      <w:b w:val="0"/>
      <w:bCs w:val="0"/>
      <w:i w:val="0"/>
      <w:iCs w:val="0"/>
      <w:smallCaps w:val="0"/>
      <w:strike w:val="0"/>
      <w:color w:val="000000"/>
      <w:spacing w:val="0"/>
      <w:w w:val="100"/>
      <w:position w:val="0"/>
      <w:sz w:val="70"/>
      <w:szCs w:val="70"/>
      <w:u w:val="none"/>
      <w:lang w:eastAsia="en-US" w:bidi="en-US"/>
    </w:rPr>
  </w:style>
  <w:style w:type="character" w:customStyle="1" w:styleId="Heading11">
    <w:name w:val="Heading #1|1_"/>
    <w:basedOn w:val="DefaultParagraphFont"/>
    <w:link w:val="Heading110"/>
    <w:rsid w:val="00F679C4"/>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sid w:val="00F679C4"/>
    <w:rPr>
      <w:b/>
      <w:bCs/>
      <w:i w:val="0"/>
      <w:iCs w:val="0"/>
      <w:smallCaps w:val="0"/>
      <w:strike w:val="0"/>
      <w:sz w:val="22"/>
      <w:szCs w:val="22"/>
      <w:u w:val="none"/>
    </w:rPr>
  </w:style>
  <w:style w:type="character" w:customStyle="1" w:styleId="Bodytext3">
    <w:name w:val="Body text|3_"/>
    <w:basedOn w:val="DefaultParagraphFont"/>
    <w:link w:val="Bodytext30"/>
    <w:rsid w:val="00F679C4"/>
    <w:rPr>
      <w:b/>
      <w:bCs/>
      <w:i w:val="0"/>
      <w:iCs w:val="0"/>
      <w:smallCaps w:val="0"/>
      <w:strike w:val="0"/>
      <w:sz w:val="22"/>
      <w:szCs w:val="22"/>
      <w:u w:val="none"/>
    </w:rPr>
  </w:style>
  <w:style w:type="character" w:customStyle="1" w:styleId="Bodytext2">
    <w:name w:val="Body text|2_"/>
    <w:basedOn w:val="DefaultParagraphFont"/>
    <w:link w:val="Bodytext20"/>
    <w:rsid w:val="00F679C4"/>
    <w:rPr>
      <w:b w:val="0"/>
      <w:bCs w:val="0"/>
      <w:i w:val="0"/>
      <w:iCs w:val="0"/>
      <w:smallCaps w:val="0"/>
      <w:strike w:val="0"/>
      <w:sz w:val="22"/>
      <w:szCs w:val="22"/>
      <w:u w:val="none"/>
    </w:rPr>
  </w:style>
  <w:style w:type="character" w:customStyle="1" w:styleId="Bodytext21">
    <w:name w:val="Body text|2"/>
    <w:basedOn w:val="Bodytext2"/>
    <w:semiHidden/>
    <w:unhideWhenUsed/>
    <w:rsid w:val="00F679C4"/>
    <w:rPr>
      <w:rFonts w:ascii="Times New Roman" w:eastAsia="Times New Roman" w:hAnsi="Times New Roman" w:cs="Times New Roman"/>
      <w:b w:val="0"/>
      <w:bCs w:val="0"/>
      <w:i w:val="0"/>
      <w:iCs w:val="0"/>
      <w:smallCaps w:val="0"/>
      <w:strike w:val="0"/>
      <w:color w:val="0000FD"/>
      <w:spacing w:val="0"/>
      <w:w w:val="100"/>
      <w:position w:val="0"/>
      <w:sz w:val="22"/>
      <w:szCs w:val="22"/>
      <w:u w:val="single"/>
      <w:lang w:eastAsia="en-US" w:bidi="en-US"/>
    </w:rPr>
  </w:style>
  <w:style w:type="character" w:customStyle="1" w:styleId="Bodytext22">
    <w:name w:val="Body text|2"/>
    <w:basedOn w:val="Bodytext2"/>
    <w:semiHidden/>
    <w:unhideWhenUsed/>
    <w:rsid w:val="00F679C4"/>
    <w:rPr>
      <w:rFonts w:ascii="Times New Roman" w:eastAsia="Times New Roman" w:hAnsi="Times New Roman" w:cs="Times New Roman"/>
      <w:b w:val="0"/>
      <w:bCs w:val="0"/>
      <w:i w:val="0"/>
      <w:iCs w:val="0"/>
      <w:smallCaps w:val="0"/>
      <w:strike w:val="0"/>
      <w:color w:val="0000FD"/>
      <w:spacing w:val="0"/>
      <w:w w:val="100"/>
      <w:position w:val="0"/>
      <w:sz w:val="22"/>
      <w:szCs w:val="22"/>
      <w:u w:val="none"/>
      <w:lang w:eastAsia="en-US" w:bidi="en-US"/>
    </w:rPr>
  </w:style>
  <w:style w:type="character" w:customStyle="1" w:styleId="Bodytext2Bold">
    <w:name w:val="Body text|2 + Bold"/>
    <w:basedOn w:val="Bodytext2"/>
    <w:semiHidden/>
    <w:unhideWhenUsed/>
    <w:rsid w:val="00F679C4"/>
    <w:rPr>
      <w:rFonts w:ascii="Times New Roman" w:eastAsia="Times New Roman" w:hAnsi="Times New Roman" w:cs="Times New Roman"/>
      <w:b/>
      <w:bCs/>
      <w:i w:val="0"/>
      <w:iCs w:val="0"/>
      <w:smallCaps w:val="0"/>
      <w:strike w:val="0"/>
      <w:color w:val="000000"/>
      <w:spacing w:val="0"/>
      <w:w w:val="100"/>
      <w:position w:val="0"/>
      <w:sz w:val="22"/>
      <w:szCs w:val="22"/>
      <w:u w:val="none"/>
      <w:lang w:eastAsia="en-US" w:bidi="en-US"/>
    </w:rPr>
  </w:style>
  <w:style w:type="character" w:customStyle="1" w:styleId="Bodytext26pt">
    <w:name w:val="Body text|2 + 6 pt"/>
    <w:basedOn w:val="Bodytext2"/>
    <w:semiHidden/>
    <w:unhideWhenUsed/>
    <w:rsid w:val="00F679C4"/>
    <w:rPr>
      <w:rFonts w:ascii="Times New Roman" w:eastAsia="Times New Roman" w:hAnsi="Times New Roman" w:cs="Times New Roman"/>
      <w:b w:val="0"/>
      <w:bCs w:val="0"/>
      <w:i w:val="0"/>
      <w:iCs w:val="0"/>
      <w:smallCaps w:val="0"/>
      <w:strike w:val="0"/>
      <w:color w:val="000000"/>
      <w:spacing w:val="0"/>
      <w:w w:val="100"/>
      <w:position w:val="0"/>
      <w:sz w:val="12"/>
      <w:szCs w:val="12"/>
      <w:u w:val="none"/>
      <w:lang w:eastAsia="en-US" w:bidi="en-US"/>
    </w:rPr>
  </w:style>
  <w:style w:type="character" w:customStyle="1" w:styleId="Bodytext23">
    <w:name w:val="Body text|2"/>
    <w:basedOn w:val="Bodytext2"/>
    <w:semiHidden/>
    <w:unhideWhenUsed/>
    <w:rsid w:val="00F679C4"/>
    <w:rPr>
      <w:rFonts w:ascii="Times New Roman" w:eastAsia="Times New Roman" w:hAnsi="Times New Roman" w:cs="Times New Roman"/>
      <w:b w:val="0"/>
      <w:bCs w:val="0"/>
      <w:i w:val="0"/>
      <w:iCs w:val="0"/>
      <w:smallCaps w:val="0"/>
      <w:strike w:val="0"/>
      <w:color w:val="222222"/>
      <w:spacing w:val="0"/>
      <w:w w:val="100"/>
      <w:position w:val="0"/>
      <w:sz w:val="22"/>
      <w:szCs w:val="22"/>
      <w:u w:val="none"/>
      <w:lang w:eastAsia="en-US" w:bidi="en-US"/>
    </w:rPr>
  </w:style>
  <w:style w:type="character" w:customStyle="1" w:styleId="Bodytext4">
    <w:name w:val="Body text|4_"/>
    <w:basedOn w:val="DefaultParagraphFont"/>
    <w:link w:val="Bodytext40"/>
    <w:rsid w:val="00F679C4"/>
    <w:rPr>
      <w:rFonts w:ascii="Arial" w:eastAsia="Arial" w:hAnsi="Arial" w:cs="Arial"/>
      <w:b w:val="0"/>
      <w:bCs w:val="0"/>
      <w:i/>
      <w:iCs/>
      <w:smallCaps w:val="0"/>
      <w:strike w:val="0"/>
      <w:sz w:val="18"/>
      <w:szCs w:val="18"/>
      <w:u w:val="none"/>
    </w:rPr>
  </w:style>
  <w:style w:type="character" w:customStyle="1" w:styleId="Heading22">
    <w:name w:val="Heading #2|2_"/>
    <w:basedOn w:val="DefaultParagraphFont"/>
    <w:link w:val="Heading220"/>
    <w:rsid w:val="00F679C4"/>
    <w:rPr>
      <w:b/>
      <w:bCs/>
      <w:i w:val="0"/>
      <w:iCs w:val="0"/>
      <w:smallCaps w:val="0"/>
      <w:strike w:val="0"/>
      <w:sz w:val="22"/>
      <w:szCs w:val="22"/>
      <w:u w:val="none"/>
    </w:rPr>
  </w:style>
  <w:style w:type="character" w:customStyle="1" w:styleId="Heading221">
    <w:name w:val="Heading #2|2"/>
    <w:basedOn w:val="Heading22"/>
    <w:semiHidden/>
    <w:unhideWhenUsed/>
    <w:rsid w:val="00F679C4"/>
    <w:rPr>
      <w:rFonts w:ascii="Times New Roman" w:eastAsia="Times New Roman" w:hAnsi="Times New Roman" w:cs="Times New Roman"/>
      <w:b/>
      <w:bCs/>
      <w:i w:val="0"/>
      <w:iCs w:val="0"/>
      <w:smallCaps w:val="0"/>
      <w:strike w:val="0"/>
      <w:color w:val="222222"/>
      <w:spacing w:val="0"/>
      <w:w w:val="100"/>
      <w:position w:val="0"/>
      <w:sz w:val="22"/>
      <w:szCs w:val="22"/>
      <w:u w:val="none"/>
      <w:lang w:eastAsia="en-US" w:bidi="en-US"/>
    </w:rPr>
  </w:style>
  <w:style w:type="character" w:customStyle="1" w:styleId="Bodytext26pt0">
    <w:name w:val="Body text|2 + 6 pt"/>
    <w:basedOn w:val="Bodytext2"/>
    <w:semiHidden/>
    <w:unhideWhenUsed/>
    <w:rsid w:val="00F679C4"/>
    <w:rPr>
      <w:rFonts w:ascii="Times New Roman" w:eastAsia="Times New Roman" w:hAnsi="Times New Roman" w:cs="Times New Roman"/>
      <w:b w:val="0"/>
      <w:bCs w:val="0"/>
      <w:i w:val="0"/>
      <w:iCs w:val="0"/>
      <w:smallCaps w:val="0"/>
      <w:strike w:val="0"/>
      <w:color w:val="222222"/>
      <w:spacing w:val="0"/>
      <w:w w:val="100"/>
      <w:position w:val="0"/>
      <w:sz w:val="12"/>
      <w:szCs w:val="12"/>
      <w:u w:val="none"/>
      <w:lang w:eastAsia="en-US" w:bidi="en-US"/>
    </w:rPr>
  </w:style>
  <w:style w:type="character" w:customStyle="1" w:styleId="Bodytext5">
    <w:name w:val="Body text|5_"/>
    <w:basedOn w:val="DefaultParagraphFont"/>
    <w:link w:val="Bodytext50"/>
    <w:rsid w:val="00F679C4"/>
    <w:rPr>
      <w:b/>
      <w:bCs/>
      <w:i w:val="0"/>
      <w:iCs w:val="0"/>
      <w:smallCaps w:val="0"/>
      <w:strike w:val="0"/>
      <w:sz w:val="22"/>
      <w:szCs w:val="22"/>
      <w:u w:val="none"/>
    </w:rPr>
  </w:style>
  <w:style w:type="paragraph" w:customStyle="1" w:styleId="Heading110">
    <w:name w:val="Heading #1|1"/>
    <w:basedOn w:val="Normal"/>
    <w:link w:val="Heading11"/>
    <w:qFormat/>
    <w:rsid w:val="00F679C4"/>
    <w:pPr>
      <w:shd w:val="clear" w:color="auto" w:fill="FFFFFF"/>
      <w:spacing w:line="402" w:lineRule="exact"/>
      <w:jc w:val="center"/>
      <w:outlineLvl w:val="0"/>
    </w:pPr>
    <w:rPr>
      <w:rFonts w:ascii="Arial" w:eastAsia="Arial" w:hAnsi="Arial" w:cs="Arial"/>
      <w:b/>
      <w:bCs/>
      <w:sz w:val="36"/>
      <w:szCs w:val="36"/>
    </w:rPr>
  </w:style>
  <w:style w:type="paragraph" w:customStyle="1" w:styleId="Heading210">
    <w:name w:val="Heading #2|1"/>
    <w:basedOn w:val="Normal"/>
    <w:link w:val="Heading21"/>
    <w:qFormat/>
    <w:rsid w:val="00F679C4"/>
    <w:pPr>
      <w:shd w:val="clear" w:color="auto" w:fill="FFFFFF"/>
      <w:spacing w:before="380" w:line="269" w:lineRule="exact"/>
      <w:outlineLvl w:val="1"/>
    </w:pPr>
    <w:rPr>
      <w:b/>
      <w:bCs/>
    </w:rPr>
  </w:style>
  <w:style w:type="paragraph" w:customStyle="1" w:styleId="Bodytext30">
    <w:name w:val="Body text|3"/>
    <w:basedOn w:val="Normal"/>
    <w:link w:val="Bodytext3"/>
    <w:rsid w:val="00F679C4"/>
    <w:pPr>
      <w:shd w:val="clear" w:color="auto" w:fill="FFFFFF"/>
      <w:spacing w:after="120" w:line="269" w:lineRule="exact"/>
    </w:pPr>
    <w:rPr>
      <w:b/>
      <w:bCs/>
    </w:rPr>
  </w:style>
  <w:style w:type="paragraph" w:customStyle="1" w:styleId="Bodytext20">
    <w:name w:val="Body text|2"/>
    <w:basedOn w:val="Normal"/>
    <w:link w:val="Bodytext2"/>
    <w:qFormat/>
    <w:rsid w:val="00F679C4"/>
    <w:pPr>
      <w:shd w:val="clear" w:color="auto" w:fill="FFFFFF"/>
      <w:spacing w:before="120" w:after="120" w:line="269" w:lineRule="exact"/>
      <w:ind w:hanging="400"/>
    </w:pPr>
  </w:style>
  <w:style w:type="paragraph" w:customStyle="1" w:styleId="Bodytext40">
    <w:name w:val="Body text|4"/>
    <w:basedOn w:val="Normal"/>
    <w:link w:val="Bodytext4"/>
    <w:rsid w:val="00F679C4"/>
    <w:pPr>
      <w:shd w:val="clear" w:color="auto" w:fill="FFFFFF"/>
      <w:spacing w:before="720" w:line="206" w:lineRule="exact"/>
    </w:pPr>
    <w:rPr>
      <w:rFonts w:ascii="Arial" w:eastAsia="Arial" w:hAnsi="Arial" w:cs="Arial"/>
      <w:i/>
      <w:iCs/>
      <w:sz w:val="18"/>
      <w:szCs w:val="18"/>
    </w:rPr>
  </w:style>
  <w:style w:type="paragraph" w:customStyle="1" w:styleId="Heading220">
    <w:name w:val="Heading #2|2"/>
    <w:basedOn w:val="Normal"/>
    <w:link w:val="Heading22"/>
    <w:rsid w:val="00F679C4"/>
    <w:pPr>
      <w:shd w:val="clear" w:color="auto" w:fill="FFFFFF"/>
      <w:spacing w:before="120" w:line="269" w:lineRule="exact"/>
      <w:outlineLvl w:val="1"/>
    </w:pPr>
    <w:rPr>
      <w:b/>
      <w:bCs/>
    </w:rPr>
  </w:style>
  <w:style w:type="paragraph" w:customStyle="1" w:styleId="Bodytext50">
    <w:name w:val="Body text|5"/>
    <w:basedOn w:val="Normal"/>
    <w:link w:val="Bodytext5"/>
    <w:rsid w:val="00F679C4"/>
    <w:pPr>
      <w:shd w:val="clear" w:color="auto" w:fill="FFFFFF"/>
      <w:spacing w:before="120" w:line="269" w:lineRule="exact"/>
    </w:pPr>
    <w:rPr>
      <w:b/>
      <w:bCs/>
    </w:rPr>
  </w:style>
  <w:style w:type="paragraph" w:styleId="Header">
    <w:name w:val="header"/>
    <w:basedOn w:val="Normal"/>
    <w:link w:val="HeaderChar"/>
    <w:qFormat/>
    <w:rsid w:val="00CC6C1B"/>
  </w:style>
  <w:style w:type="character" w:customStyle="1" w:styleId="HeaderChar">
    <w:name w:val="Header Char"/>
    <w:basedOn w:val="DefaultParagraphFont"/>
    <w:link w:val="Header"/>
    <w:rsid w:val="00AE6205"/>
    <w:rPr>
      <w:sz w:val="22"/>
      <w:szCs w:val="22"/>
      <w:lang w:bidi="ar-SA"/>
    </w:rPr>
  </w:style>
  <w:style w:type="paragraph" w:styleId="Footer">
    <w:name w:val="footer"/>
    <w:basedOn w:val="Normal"/>
    <w:link w:val="FooterChar"/>
    <w:qFormat/>
    <w:rsid w:val="00CC6C1B"/>
  </w:style>
  <w:style w:type="character" w:customStyle="1" w:styleId="FooterChar">
    <w:name w:val="Footer Char"/>
    <w:basedOn w:val="DefaultParagraphFont"/>
    <w:link w:val="Footer"/>
    <w:rsid w:val="00AE6205"/>
    <w:rPr>
      <w:sz w:val="22"/>
      <w:szCs w:val="22"/>
      <w:lang w:bidi="ar-SA"/>
    </w:rPr>
  </w:style>
  <w:style w:type="character" w:customStyle="1" w:styleId="Heading1Char">
    <w:name w:val="Heading 1 Char"/>
    <w:basedOn w:val="DefaultParagraphFont"/>
    <w:link w:val="Heading1"/>
    <w:rsid w:val="005201FD"/>
    <w:rPr>
      <w:kern w:val="28"/>
      <w:sz w:val="22"/>
      <w:szCs w:val="22"/>
      <w:lang w:bidi="ar-SA"/>
    </w:rPr>
  </w:style>
  <w:style w:type="character" w:customStyle="1" w:styleId="Heading2Char">
    <w:name w:val="Heading 2 Char"/>
    <w:basedOn w:val="DefaultParagraphFont"/>
    <w:link w:val="Heading2"/>
    <w:rsid w:val="00CC6C1B"/>
    <w:rPr>
      <w:sz w:val="22"/>
      <w:szCs w:val="22"/>
      <w:lang w:bidi="ar-SA"/>
    </w:rPr>
  </w:style>
  <w:style w:type="character" w:customStyle="1" w:styleId="Heading3Char">
    <w:name w:val="Heading 3 Char"/>
    <w:basedOn w:val="DefaultParagraphFont"/>
    <w:link w:val="Heading3"/>
    <w:rsid w:val="00CC6C1B"/>
    <w:rPr>
      <w:sz w:val="22"/>
      <w:szCs w:val="22"/>
      <w:lang w:bidi="ar-SA"/>
    </w:rPr>
  </w:style>
  <w:style w:type="character" w:customStyle="1" w:styleId="Heading4Char">
    <w:name w:val="Heading 4 Char"/>
    <w:basedOn w:val="DefaultParagraphFont"/>
    <w:link w:val="Heading4"/>
    <w:rsid w:val="00CC6C1B"/>
    <w:rPr>
      <w:sz w:val="22"/>
      <w:szCs w:val="22"/>
      <w:lang w:bidi="ar-SA"/>
    </w:rPr>
  </w:style>
  <w:style w:type="character" w:customStyle="1" w:styleId="Heading5Char">
    <w:name w:val="Heading 5 Char"/>
    <w:basedOn w:val="DefaultParagraphFont"/>
    <w:link w:val="Heading5"/>
    <w:rsid w:val="00CC6C1B"/>
    <w:rPr>
      <w:sz w:val="22"/>
      <w:szCs w:val="22"/>
      <w:lang w:bidi="ar-SA"/>
    </w:rPr>
  </w:style>
  <w:style w:type="character" w:customStyle="1" w:styleId="Heading6Char">
    <w:name w:val="Heading 6 Char"/>
    <w:basedOn w:val="DefaultParagraphFont"/>
    <w:link w:val="Heading6"/>
    <w:rsid w:val="00CC6C1B"/>
    <w:rPr>
      <w:sz w:val="22"/>
      <w:szCs w:val="22"/>
      <w:lang w:bidi="ar-SA"/>
    </w:rPr>
  </w:style>
  <w:style w:type="character" w:customStyle="1" w:styleId="Heading7Char">
    <w:name w:val="Heading 7 Char"/>
    <w:basedOn w:val="DefaultParagraphFont"/>
    <w:link w:val="Heading7"/>
    <w:rsid w:val="00CC6C1B"/>
    <w:rPr>
      <w:sz w:val="22"/>
      <w:szCs w:val="22"/>
      <w:lang w:bidi="ar-SA"/>
    </w:rPr>
  </w:style>
  <w:style w:type="character" w:customStyle="1" w:styleId="Heading8Char">
    <w:name w:val="Heading 8 Char"/>
    <w:basedOn w:val="DefaultParagraphFont"/>
    <w:link w:val="Heading8"/>
    <w:rsid w:val="00CC6C1B"/>
    <w:rPr>
      <w:sz w:val="22"/>
      <w:szCs w:val="22"/>
      <w:lang w:bidi="ar-SA"/>
    </w:rPr>
  </w:style>
  <w:style w:type="character" w:customStyle="1" w:styleId="Heading9Char">
    <w:name w:val="Heading 9 Char"/>
    <w:basedOn w:val="DefaultParagraphFont"/>
    <w:link w:val="Heading9"/>
    <w:rsid w:val="00CC6C1B"/>
    <w:rPr>
      <w:sz w:val="22"/>
      <w:szCs w:val="22"/>
      <w:lang w:bidi="ar-SA"/>
    </w:rPr>
  </w:style>
  <w:style w:type="paragraph" w:styleId="FootnoteText">
    <w:name w:val="footnote text"/>
    <w:basedOn w:val="Normal"/>
    <w:link w:val="FootnoteTextChar"/>
    <w:qFormat/>
    <w:rsid w:val="00CC6C1B"/>
    <w:pPr>
      <w:keepLines/>
      <w:spacing w:after="60" w:line="240" w:lineRule="auto"/>
      <w:ind w:left="567" w:hanging="567"/>
    </w:pPr>
    <w:rPr>
      <w:sz w:val="16"/>
    </w:rPr>
  </w:style>
  <w:style w:type="character" w:customStyle="1" w:styleId="FootnoteTextChar">
    <w:name w:val="Footnote Text Char"/>
    <w:basedOn w:val="DefaultParagraphFont"/>
    <w:link w:val="FootnoteText"/>
    <w:rsid w:val="00CC6C1B"/>
    <w:rPr>
      <w:sz w:val="16"/>
      <w:szCs w:val="22"/>
      <w:lang w:bidi="ar-SA"/>
    </w:rPr>
  </w:style>
  <w:style w:type="paragraph" w:customStyle="1" w:styleId="quotes">
    <w:name w:val="quotes"/>
    <w:basedOn w:val="Normal"/>
    <w:next w:val="Normal"/>
    <w:rsid w:val="00CC6C1B"/>
    <w:pPr>
      <w:ind w:left="720"/>
    </w:pPr>
    <w:rPr>
      <w:i/>
    </w:rPr>
  </w:style>
  <w:style w:type="character" w:styleId="FootnoteReference">
    <w:name w:val="footnote reference"/>
    <w:basedOn w:val="DefaultParagraphFont"/>
    <w:unhideWhenUsed/>
    <w:qFormat/>
    <w:rsid w:val="00CC6C1B"/>
    <w:rPr>
      <w:sz w:val="24"/>
      <w:vertAlign w:val="superscript"/>
    </w:rPr>
  </w:style>
  <w:style w:type="paragraph" w:styleId="BalloonText">
    <w:name w:val="Balloon Text"/>
    <w:basedOn w:val="Normal"/>
    <w:link w:val="BalloonTextChar"/>
    <w:uiPriority w:val="99"/>
    <w:semiHidden/>
    <w:unhideWhenUsed/>
    <w:rsid w:val="0096569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5690"/>
    <w:rPr>
      <w:rFonts w:ascii="Tahoma"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customXml" Target="../customXml/item2.xml"/><Relationship Id="rId16"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CTJJHAUHWN5E-644613129-779</_dlc_DocId>
    <_dlc_DocIdUrl xmlns="bfc960a6-20da-4c94-8684-71380fca093b">
      <Url>http://dm2016/eesc/2019/_layouts/15/DocIdRedir.aspx?ID=CTJJHAUHWN5E-644613129-779</Url>
      <Description>CTJJHAUHWN5E-644613129-779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2019-11-26T12:00:00+00:00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7</Value>
      <Value>246</Value>
      <Value>21</Value>
      <Value>152</Value>
      <Value>162</Value>
      <Value>11</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SR</TermName>
          <TermId xmlns="http://schemas.microsoft.com/office/infopath/2007/PartnerControls">7f3a1d13-b985-4bfd-981e-afe31377edff</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11383</FicheNumber>
    <DocumentPart xmlns="bfc960a6-20da-4c94-8684-71380fca093b">0</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1689A9-7604-4780-BD50-DE5D00B281E0}"/>
</file>

<file path=customXml/itemProps2.xml><?xml version="1.0" encoding="utf-8"?>
<ds:datastoreItem xmlns:ds="http://schemas.openxmlformats.org/officeDocument/2006/customXml" ds:itemID="{899FC72C-E96E-483C-9410-DB1BBB890839}"/>
</file>

<file path=customXml/itemProps3.xml><?xml version="1.0" encoding="utf-8"?>
<ds:datastoreItem xmlns:ds="http://schemas.openxmlformats.org/officeDocument/2006/customXml" ds:itemID="{AE1C23F8-E805-46D3-A2B5-4659ED051F9F}"/>
</file>

<file path=customXml/itemProps4.xml><?xml version="1.0" encoding="utf-8"?>
<ds:datastoreItem xmlns:ds="http://schemas.openxmlformats.org/officeDocument/2006/customXml" ds:itemID="{ACED8555-2BCA-4961-ABAF-05CF7F5D7282}"/>
</file>

<file path=docProps/app.xml><?xml version="1.0" encoding="utf-8"?>
<Properties xmlns="http://schemas.openxmlformats.org/officeDocument/2006/extended-properties" xmlns:vt="http://schemas.openxmlformats.org/officeDocument/2006/docPropsVTypes">
  <Template>Normal.dotm</Template>
  <TotalTime>2</TotalTime>
  <Pages>3</Pages>
  <Words>1215</Words>
  <Characters>6926</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1 - Climate Action Simulation: Clean Tech </dc:title>
  <dc:creator>CDT</dc:creator>
  <cp:keywords>EESC-2019-05163-00-00-INFO-TRA-EN</cp:keywords>
  <dc:description>Rapporteur:  - Original language: EN - Date of document: 26/11/2019 - Date of meeting:  - External documents:  - Administrator: MME Lahousse Chloé</dc:description>
  <cp:lastModifiedBy>Robert Urukalo</cp:lastModifiedBy>
  <cp:revision>2</cp:revision>
  <dcterms:created xsi:type="dcterms:W3CDTF">2019-11-26T12:06:00Z</dcterms:created>
  <dcterms:modified xsi:type="dcterms:W3CDTF">2019-11-26T12:06:00Z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08:10:43, 17:35:22</vt:lpwstr>
  </property>
  <property fmtid="{D5CDD505-2E9C-101B-9397-08002B2CF9AE}" pid="5" name="Pref_User">
    <vt:lpwstr>enied, ssex</vt:lpwstr>
  </property>
  <property fmtid="{D5CDD505-2E9C-101B-9397-08002B2CF9AE}" pid="6" name="Pref_FileName">
    <vt:lpwstr>EESC-2019-05163-00-00-INFO-TRA-EN-CRR.docx, EESC-2019-05163-00-00-INFO-CRR-EN.docx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2281bca6-b661-4c74-81de-e3ab840874d0</vt:lpwstr>
  </property>
  <property fmtid="{D5CDD505-2E9C-101B-9397-08002B2CF9AE}" pid="9" name="AvailableTranslations">
    <vt:lpwstr>246;#ME|925b3da5-5ac0-4b3c-928c-6ef66a5c9b3c;#154;#SQ|5ac17240-8d11-45ec-9893-659b209d7a00;#162;#TR|6e4ededd-04c4-4fa0-94e0-1028050302d5;#4;#EN|f2175f21-25d7-44a3-96da-d6a61b075e1b;#153;#SR|7f3a1d13-b985-4bfd-981e-afe31377edff;#152;#MK|34ce48bb-063e-4413-a932-50853dc71c5c;#21;#IT|0774613c-01ed-4e5d-a25d-11d2388de825</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ME|925b3da5-5ac0-4b3c-928c-6ef66a5c9b3c;SQ|5ac17240-8d11-45ec-9893-659b209d7a00;TR|6e4ededd-04c4-4fa0-94e0-1028050302d5;EN|f2175f21-25d7-44a3-96da-d6a61b075e1b;MK|34ce48bb-063e-4413-a932-50853dc71c5c;IT|0774613c-01ed-4e5d-a25d-11d2388de825</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152;#MK|34ce48bb-063e-4413-a932-50853dc71c5c;#21;#IT|0774613c-01ed-4e5d-a25d-11d2388de825;#11;#INFO|d9136e7c-93a9-4c42-9d28-92b61e85f80c;#154;#SQ|5ac17240-8d11-45ec-9893-659b209d7a00;#162;#TR|6e4ededd-04c4-4fa0-94e0-1028050302d5;#246;#ME|925b3da5-5ac0-4b3c-928c-6ef66a5c9b3c;#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11383</vt:i4>
  </property>
  <property fmtid="{D5CDD505-2E9C-101B-9397-08002B2CF9AE}" pid="37" name="DocumentLanguage">
    <vt:lpwstr>153;#SR|7f3a1d13-b985-4bfd-981e-afe31377edff</vt:lpwstr>
  </property>
  <property fmtid="{D5CDD505-2E9C-101B-9397-08002B2CF9AE}" pid="38" name="_docset_NoMedatataSyncRequired">
    <vt:lpwstr>False</vt:lpwstr>
  </property>
</Properties>
</file>